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768C" w14:textId="05C65954" w:rsidR="00672D72" w:rsidRPr="00C4525B" w:rsidRDefault="00C8564A" w:rsidP="00C8564A">
      <w:pPr>
        <w:jc w:val="center"/>
        <w:rPr>
          <w:b/>
          <w:bCs/>
          <w:sz w:val="28"/>
          <w:szCs w:val="28"/>
        </w:rPr>
      </w:pPr>
      <w:r w:rsidRPr="00C4525B">
        <w:rPr>
          <w:b/>
          <w:bCs/>
          <w:sz w:val="28"/>
          <w:szCs w:val="28"/>
        </w:rPr>
        <w:t>IPC Position Paper on Accuracy of</w:t>
      </w:r>
      <w:r w:rsidR="00764E37">
        <w:rPr>
          <w:b/>
          <w:bCs/>
          <w:sz w:val="28"/>
          <w:szCs w:val="28"/>
        </w:rPr>
        <w:t xml:space="preserve"> Registrant Data (“</w:t>
      </w:r>
      <w:r w:rsidRPr="00C4525B">
        <w:rPr>
          <w:b/>
          <w:bCs/>
          <w:sz w:val="28"/>
          <w:szCs w:val="28"/>
        </w:rPr>
        <w:t>WHOIS Data</w:t>
      </w:r>
      <w:r w:rsidR="00764E37">
        <w:rPr>
          <w:b/>
          <w:bCs/>
          <w:sz w:val="28"/>
          <w:szCs w:val="28"/>
        </w:rPr>
        <w:t>”)</w:t>
      </w:r>
      <w:r w:rsidR="00764E37">
        <w:rPr>
          <w:b/>
          <w:bCs/>
          <w:sz w:val="28"/>
          <w:szCs w:val="28"/>
        </w:rPr>
        <w:br/>
        <w:t>as of August 2021</w:t>
      </w:r>
    </w:p>
    <w:p w14:paraId="7A9B34F9" w14:textId="2F4C2F1E" w:rsidR="00C8564A" w:rsidRDefault="00C8564A"/>
    <w:p w14:paraId="254C872F" w14:textId="06706BFF" w:rsidR="00A901F9" w:rsidRDefault="00C8564A" w:rsidP="00A901F9">
      <w:pPr>
        <w:autoSpaceDE w:val="0"/>
        <w:autoSpaceDN w:val="0"/>
        <w:adjustRightInd w:val="0"/>
        <w:spacing w:after="0" w:line="240" w:lineRule="auto"/>
        <w:rPr>
          <w:rFonts w:ascii="Calibri" w:hAnsi="Calibri" w:cs="Calibri"/>
          <w:color w:val="000000"/>
        </w:rPr>
      </w:pPr>
      <w:r w:rsidRPr="00C4525B">
        <w:rPr>
          <w:b/>
          <w:bCs/>
          <w:sz w:val="24"/>
          <w:szCs w:val="24"/>
          <w:u w:val="single"/>
        </w:rPr>
        <w:t xml:space="preserve">Accuracy </w:t>
      </w:r>
      <w:r w:rsidR="00424DA5">
        <w:rPr>
          <w:b/>
          <w:bCs/>
          <w:sz w:val="24"/>
          <w:szCs w:val="24"/>
          <w:u w:val="single"/>
        </w:rPr>
        <w:t>O</w:t>
      </w:r>
      <w:r w:rsidRPr="00C4525B">
        <w:rPr>
          <w:b/>
          <w:bCs/>
          <w:sz w:val="24"/>
          <w:szCs w:val="24"/>
          <w:u w:val="single"/>
        </w:rPr>
        <w:t xml:space="preserve">f WHOIS </w:t>
      </w:r>
      <w:r w:rsidR="00A901F9" w:rsidRPr="00C4525B">
        <w:rPr>
          <w:b/>
          <w:bCs/>
          <w:sz w:val="24"/>
          <w:szCs w:val="24"/>
          <w:u w:val="single"/>
        </w:rPr>
        <w:t>D</w:t>
      </w:r>
      <w:r w:rsidRPr="00C4525B">
        <w:rPr>
          <w:b/>
          <w:bCs/>
          <w:sz w:val="24"/>
          <w:szCs w:val="24"/>
          <w:u w:val="single"/>
        </w:rPr>
        <w:t xml:space="preserve">ata </w:t>
      </w:r>
      <w:r w:rsidR="00424DA5">
        <w:rPr>
          <w:b/>
          <w:bCs/>
          <w:sz w:val="24"/>
          <w:szCs w:val="24"/>
          <w:u w:val="single"/>
        </w:rPr>
        <w:t>I</w:t>
      </w:r>
      <w:r w:rsidRPr="00C4525B">
        <w:rPr>
          <w:b/>
          <w:bCs/>
          <w:sz w:val="24"/>
          <w:szCs w:val="24"/>
          <w:u w:val="single"/>
        </w:rPr>
        <w:t xml:space="preserve">s </w:t>
      </w:r>
      <w:proofErr w:type="gramStart"/>
      <w:r w:rsidR="00424DA5">
        <w:rPr>
          <w:b/>
          <w:bCs/>
          <w:sz w:val="24"/>
          <w:szCs w:val="24"/>
          <w:u w:val="single"/>
        </w:rPr>
        <w:t>O</w:t>
      </w:r>
      <w:r w:rsidRPr="00C4525B">
        <w:rPr>
          <w:b/>
          <w:bCs/>
          <w:sz w:val="24"/>
          <w:szCs w:val="24"/>
          <w:u w:val="single"/>
        </w:rPr>
        <w:t>f</w:t>
      </w:r>
      <w:proofErr w:type="gramEnd"/>
      <w:r w:rsidRPr="00C4525B">
        <w:rPr>
          <w:b/>
          <w:bCs/>
          <w:sz w:val="24"/>
          <w:szCs w:val="24"/>
          <w:u w:val="single"/>
        </w:rPr>
        <w:t xml:space="preserve"> </w:t>
      </w:r>
      <w:r w:rsidR="00A901F9" w:rsidRPr="00C4525B">
        <w:rPr>
          <w:b/>
          <w:bCs/>
          <w:sz w:val="24"/>
          <w:szCs w:val="24"/>
          <w:u w:val="single"/>
        </w:rPr>
        <w:t>H</w:t>
      </w:r>
      <w:r w:rsidRPr="00C4525B">
        <w:rPr>
          <w:b/>
          <w:bCs/>
          <w:sz w:val="24"/>
          <w:szCs w:val="24"/>
          <w:u w:val="single"/>
        </w:rPr>
        <w:t xml:space="preserve">igh </w:t>
      </w:r>
      <w:r w:rsidR="00A901F9" w:rsidRPr="00C4525B">
        <w:rPr>
          <w:b/>
          <w:bCs/>
          <w:sz w:val="24"/>
          <w:szCs w:val="24"/>
          <w:u w:val="single"/>
        </w:rPr>
        <w:t>I</w:t>
      </w:r>
      <w:r w:rsidRPr="00C4525B">
        <w:rPr>
          <w:b/>
          <w:bCs/>
          <w:sz w:val="24"/>
          <w:szCs w:val="24"/>
          <w:u w:val="single"/>
        </w:rPr>
        <w:t xml:space="preserve">mportance </w:t>
      </w:r>
      <w:r w:rsidR="00424DA5">
        <w:rPr>
          <w:b/>
          <w:bCs/>
          <w:sz w:val="24"/>
          <w:szCs w:val="24"/>
          <w:u w:val="single"/>
        </w:rPr>
        <w:t>T</w:t>
      </w:r>
      <w:r w:rsidRPr="00C4525B">
        <w:rPr>
          <w:b/>
          <w:bCs/>
          <w:sz w:val="24"/>
          <w:szCs w:val="24"/>
          <w:u w:val="single"/>
        </w:rPr>
        <w:t xml:space="preserve">o </w:t>
      </w:r>
      <w:r w:rsidR="00424DA5">
        <w:rPr>
          <w:b/>
          <w:bCs/>
          <w:sz w:val="24"/>
          <w:szCs w:val="24"/>
          <w:u w:val="single"/>
        </w:rPr>
        <w:t>T</w:t>
      </w:r>
      <w:r w:rsidRPr="00C4525B">
        <w:rPr>
          <w:b/>
          <w:bCs/>
          <w:sz w:val="24"/>
          <w:szCs w:val="24"/>
          <w:u w:val="single"/>
        </w:rPr>
        <w:t>he IPC</w:t>
      </w:r>
      <w:r w:rsidRPr="00C4525B">
        <w:rPr>
          <w:b/>
          <w:bCs/>
          <w:sz w:val="24"/>
          <w:szCs w:val="24"/>
        </w:rPr>
        <w:t>:</w:t>
      </w:r>
      <w:r>
        <w:t xml:space="preserve">  Accuracy of WHOIS data is of high importance to the IPC for two reasons.  First, accurate WHOIS data enables IP rightsholders to contact domain name registrants in cases of IP infringement, and, if necessary, serve notice for legal actions (including UDRP and URS proceedings).  Second</w:t>
      </w:r>
      <w:r w:rsidR="00772BBA">
        <w:t>, when domain name registrants are required to submit accurate WHOIS data, this leads to</w:t>
      </w:r>
      <w:r w:rsidR="00C4525B">
        <w:t xml:space="preserve"> </w:t>
      </w:r>
      <w:r w:rsidR="007D021E">
        <w:t>reduced</w:t>
      </w:r>
      <w:r w:rsidR="00772BBA">
        <w:t xml:space="preserve"> abusive and illegal activity, including IP infringement.  </w:t>
      </w:r>
      <w:r w:rsidR="00A901F9">
        <w:t xml:space="preserve">For example, </w:t>
      </w:r>
      <w:r w:rsidR="00A901F9">
        <w:rPr>
          <w:rFonts w:ascii="Calibri" w:hAnsi="Calibri" w:cs="Calibri"/>
          <w:color w:val="000000"/>
        </w:rPr>
        <w:t xml:space="preserve">DK </w:t>
      </w:r>
      <w:proofErr w:type="spellStart"/>
      <w:r w:rsidR="00A901F9">
        <w:rPr>
          <w:rFonts w:ascii="Calibri" w:hAnsi="Calibri" w:cs="Calibri"/>
          <w:color w:val="000000"/>
        </w:rPr>
        <w:t>Hostmaster</w:t>
      </w:r>
      <w:proofErr w:type="spellEnd"/>
      <w:r w:rsidR="00A901F9">
        <w:rPr>
          <w:rFonts w:ascii="Calibri" w:hAnsi="Calibri" w:cs="Calibri"/>
          <w:color w:val="000000"/>
        </w:rPr>
        <w:t>, the registry operator for .dk, undertakes strategic and rigorous procedures</w:t>
      </w:r>
      <w:r w:rsidR="006371DA">
        <w:rPr>
          <w:rFonts w:ascii="Calibri" w:hAnsi="Calibri" w:cs="Calibri"/>
          <w:color w:val="000000"/>
        </w:rPr>
        <w:t xml:space="preserve"> </w:t>
      </w:r>
      <w:r w:rsidR="00A901F9">
        <w:rPr>
          <w:rFonts w:ascii="Calibri" w:hAnsi="Calibri" w:cs="Calibri"/>
          <w:color w:val="000000"/>
        </w:rPr>
        <w:t>to verify the WHOIS data for its .dk domain name registrants. As described in a January 2020 article</w:t>
      </w:r>
    </w:p>
    <w:p w14:paraId="03EADDB6" w14:textId="77777777" w:rsidR="00A901F9" w:rsidRDefault="00A901F9" w:rsidP="00A901F9">
      <w:pPr>
        <w:autoSpaceDE w:val="0"/>
        <w:autoSpaceDN w:val="0"/>
        <w:adjustRightInd w:val="0"/>
        <w:spacing w:after="0" w:line="240" w:lineRule="auto"/>
        <w:rPr>
          <w:rFonts w:ascii="Calibri" w:hAnsi="Calibri" w:cs="Calibri"/>
          <w:color w:val="000000"/>
        </w:rPr>
      </w:pPr>
      <w:r>
        <w:rPr>
          <w:rFonts w:ascii="Calibri" w:hAnsi="Calibri" w:cs="Calibri"/>
          <w:color w:val="000000"/>
        </w:rPr>
        <w:t>from the Internet Policy Review entitled “The Regulation of Abusive Activity and Content: A Study of</w:t>
      </w:r>
    </w:p>
    <w:p w14:paraId="6448351B" w14:textId="77777777" w:rsidR="00A901F9" w:rsidRDefault="00A901F9" w:rsidP="00A901F9">
      <w:pPr>
        <w:autoSpaceDE w:val="0"/>
        <w:autoSpaceDN w:val="0"/>
        <w:adjustRightInd w:val="0"/>
        <w:spacing w:after="0" w:line="240" w:lineRule="auto"/>
        <w:rPr>
          <w:rFonts w:ascii="Calibri" w:hAnsi="Calibri" w:cs="Calibri"/>
          <w:color w:val="000000"/>
        </w:rPr>
      </w:pPr>
      <w:r>
        <w:rPr>
          <w:rFonts w:ascii="Calibri" w:hAnsi="Calibri" w:cs="Calibri"/>
          <w:color w:val="000000"/>
        </w:rPr>
        <w:t>Registries’ Terms of Service”:</w:t>
      </w:r>
    </w:p>
    <w:p w14:paraId="412A2A2B" w14:textId="038E2AB2" w:rsidR="00A901F9" w:rsidRDefault="00A901F9" w:rsidP="00A901F9">
      <w:pPr>
        <w:autoSpaceDE w:val="0"/>
        <w:autoSpaceDN w:val="0"/>
        <w:adjustRightInd w:val="0"/>
        <w:spacing w:after="0" w:line="240" w:lineRule="auto"/>
        <w:rPr>
          <w:rFonts w:ascii="Calibri-Italic" w:hAnsi="Calibri-Italic" w:cs="Calibri-Italic"/>
          <w:i/>
          <w:iCs/>
          <w:color w:val="3C3C3D"/>
        </w:rPr>
      </w:pPr>
      <w:r>
        <w:rPr>
          <w:rFonts w:ascii="Calibri-Italic" w:hAnsi="Calibri-Italic" w:cs="Calibri-Italic"/>
          <w:i/>
          <w:iCs/>
          <w:color w:val="3C3C3D"/>
        </w:rPr>
        <w:br/>
        <w:t>“In Denmark, a problem with online shops selling counterfeit products was manifested by an increasing</w:t>
      </w:r>
    </w:p>
    <w:p w14:paraId="09A099E7" w14:textId="77777777" w:rsidR="00A901F9" w:rsidRDefault="00A901F9" w:rsidP="00A901F9">
      <w:pPr>
        <w:autoSpaceDE w:val="0"/>
        <w:autoSpaceDN w:val="0"/>
        <w:adjustRightInd w:val="0"/>
        <w:spacing w:after="0" w:line="240" w:lineRule="auto"/>
        <w:rPr>
          <w:rFonts w:ascii="Calibri-Italic" w:hAnsi="Calibri-Italic" w:cs="Calibri-Italic"/>
          <w:i/>
          <w:iCs/>
          <w:color w:val="3C3C3D"/>
        </w:rPr>
      </w:pPr>
      <w:r>
        <w:rPr>
          <w:rFonts w:ascii="Calibri-Italic" w:hAnsi="Calibri-Italic" w:cs="Calibri-Italic"/>
          <w:i/>
          <w:iCs/>
          <w:color w:val="3C3C3D"/>
        </w:rPr>
        <w:t>number of court orders that the registry received to seize &lt;.dk&gt; domains. In 2017, the Danish registry, DK</w:t>
      </w:r>
    </w:p>
    <w:p w14:paraId="713CE411" w14:textId="77777777" w:rsidR="00A901F9" w:rsidRDefault="00A901F9" w:rsidP="00A901F9">
      <w:pPr>
        <w:autoSpaceDE w:val="0"/>
        <w:autoSpaceDN w:val="0"/>
        <w:adjustRightInd w:val="0"/>
        <w:spacing w:after="0" w:line="240" w:lineRule="auto"/>
        <w:rPr>
          <w:rFonts w:ascii="Calibri-Italic" w:hAnsi="Calibri-Italic" w:cs="Calibri-Italic"/>
          <w:i/>
          <w:iCs/>
          <w:color w:val="3C3C3D"/>
        </w:rPr>
      </w:pPr>
      <w:proofErr w:type="spellStart"/>
      <w:r>
        <w:rPr>
          <w:rFonts w:ascii="Calibri-Italic" w:hAnsi="Calibri-Italic" w:cs="Calibri-Italic"/>
          <w:i/>
          <w:iCs/>
          <w:color w:val="3C3C3D"/>
        </w:rPr>
        <w:t>Hostmaster</w:t>
      </w:r>
      <w:proofErr w:type="spellEnd"/>
      <w:r>
        <w:rPr>
          <w:rFonts w:ascii="Calibri-Italic" w:hAnsi="Calibri-Italic" w:cs="Calibri-Italic"/>
          <w:i/>
          <w:iCs/>
          <w:color w:val="3C3C3D"/>
        </w:rPr>
        <w:t>, introduced the mandatory use of a common login and verification solution used by</w:t>
      </w:r>
    </w:p>
    <w:p w14:paraId="4806665F" w14:textId="77777777" w:rsidR="00A901F9" w:rsidRDefault="00A901F9" w:rsidP="00A901F9">
      <w:pPr>
        <w:autoSpaceDE w:val="0"/>
        <w:autoSpaceDN w:val="0"/>
        <w:adjustRightInd w:val="0"/>
        <w:spacing w:after="0" w:line="240" w:lineRule="auto"/>
        <w:rPr>
          <w:rFonts w:ascii="Calibri-Italic" w:hAnsi="Calibri-Italic" w:cs="Calibri-Italic"/>
          <w:i/>
          <w:iCs/>
          <w:color w:val="3C3C3D"/>
        </w:rPr>
      </w:pPr>
      <w:r>
        <w:rPr>
          <w:rFonts w:ascii="Calibri-Italic" w:hAnsi="Calibri-Italic" w:cs="Calibri-Italic"/>
          <w:i/>
          <w:iCs/>
          <w:color w:val="3C3C3D"/>
        </w:rPr>
        <w:t>government, banks and other private actors for identity verification purposes of Danish registrants and a</w:t>
      </w:r>
    </w:p>
    <w:p w14:paraId="389230A4" w14:textId="77777777" w:rsidR="00A901F9" w:rsidRDefault="00A901F9" w:rsidP="00A901F9">
      <w:pPr>
        <w:autoSpaceDE w:val="0"/>
        <w:autoSpaceDN w:val="0"/>
        <w:adjustRightInd w:val="0"/>
        <w:spacing w:after="0" w:line="240" w:lineRule="auto"/>
        <w:rPr>
          <w:rFonts w:ascii="Calibri-Italic" w:hAnsi="Calibri-Italic" w:cs="Calibri-Italic"/>
          <w:i/>
          <w:iCs/>
          <w:color w:val="3C3C3D"/>
        </w:rPr>
      </w:pPr>
      <w:r>
        <w:rPr>
          <w:rFonts w:ascii="Calibri-Italic" w:hAnsi="Calibri-Italic" w:cs="Calibri-Italic"/>
          <w:i/>
          <w:iCs/>
          <w:color w:val="3C3C3D"/>
        </w:rPr>
        <w:t>risk-based assessment of foreign registrants at the time of registration. The verification requirement</w:t>
      </w:r>
    </w:p>
    <w:p w14:paraId="5B60CD28" w14:textId="77777777" w:rsidR="00A901F9" w:rsidRDefault="00A901F9" w:rsidP="00A901F9">
      <w:pPr>
        <w:autoSpaceDE w:val="0"/>
        <w:autoSpaceDN w:val="0"/>
        <w:adjustRightInd w:val="0"/>
        <w:spacing w:after="0" w:line="240" w:lineRule="auto"/>
        <w:rPr>
          <w:rFonts w:ascii="Calibri-Italic" w:hAnsi="Calibri-Italic" w:cs="Calibri-Italic"/>
          <w:i/>
          <w:iCs/>
          <w:color w:val="3C3C3D"/>
        </w:rPr>
      </w:pPr>
      <w:r>
        <w:rPr>
          <w:rFonts w:ascii="Calibri-Italic" w:hAnsi="Calibri-Italic" w:cs="Calibri-Italic"/>
          <w:i/>
          <w:iCs/>
          <w:color w:val="3C3C3D"/>
        </w:rPr>
        <w:t>resulted in a decrease of online shops suspected of IP infringements from 6,73% to 0,12% (DK</w:t>
      </w:r>
    </w:p>
    <w:p w14:paraId="18B852B7" w14:textId="53B9A953" w:rsidR="00C8564A" w:rsidRDefault="00A901F9" w:rsidP="00A901F9">
      <w:pPr>
        <w:rPr>
          <w:rFonts w:ascii="Calibri-Italic" w:hAnsi="Calibri-Italic" w:cs="Calibri-Italic"/>
          <w:i/>
          <w:iCs/>
          <w:color w:val="3C3C3D"/>
        </w:rPr>
      </w:pPr>
      <w:proofErr w:type="spellStart"/>
      <w:r w:rsidRPr="00A901F9">
        <w:rPr>
          <w:rFonts w:ascii="Calibri-Italic" w:hAnsi="Calibri-Italic" w:cs="Calibri-Italic"/>
          <w:i/>
          <w:iCs/>
          <w:color w:val="3C3C3D"/>
        </w:rPr>
        <w:t>Hostmaster</w:t>
      </w:r>
      <w:proofErr w:type="spellEnd"/>
      <w:r w:rsidRPr="00A901F9">
        <w:rPr>
          <w:rFonts w:ascii="Calibri-Italic" w:hAnsi="Calibri-Italic" w:cs="Calibri-Italic"/>
          <w:i/>
          <w:iCs/>
          <w:color w:val="3C3C3D"/>
        </w:rPr>
        <w:t>, 2019).”</w:t>
      </w:r>
      <w:r w:rsidR="0084798E">
        <w:rPr>
          <w:rStyle w:val="FootnoteReference"/>
          <w:rFonts w:ascii="Calibri-Italic" w:hAnsi="Calibri-Italic" w:cs="Calibri-Italic"/>
          <w:i/>
          <w:iCs/>
          <w:color w:val="3C3C3D"/>
        </w:rPr>
        <w:footnoteReference w:id="1"/>
      </w:r>
    </w:p>
    <w:p w14:paraId="5145FCE7" w14:textId="2C130027" w:rsidR="00A901F9" w:rsidRPr="00C4525B" w:rsidRDefault="00864EE1" w:rsidP="00A901F9">
      <w:pPr>
        <w:rPr>
          <w:rFonts w:ascii="Calibri-Italic" w:hAnsi="Calibri-Italic" w:cs="Calibri-Italic"/>
          <w:color w:val="3C3C3D"/>
        </w:rPr>
      </w:pPr>
      <w:r w:rsidRPr="00C4525B">
        <w:rPr>
          <w:rFonts w:ascii="Calibri-Italic" w:hAnsi="Calibri-Italic" w:cs="Calibri-Italic"/>
          <w:color w:val="3C3C3D"/>
        </w:rPr>
        <w:t>The IPC</w:t>
      </w:r>
      <w:r w:rsidR="00C4525B">
        <w:rPr>
          <w:rFonts w:ascii="Calibri-Italic" w:hAnsi="Calibri-Italic" w:cs="Calibri-Italic"/>
          <w:color w:val="3C3C3D"/>
        </w:rPr>
        <w:t xml:space="preserve"> has fully recognized this point.  For example, in the IPC Comments on the RDS-WHOIS2 Review Final Report</w:t>
      </w:r>
      <w:r w:rsidR="00134972">
        <w:rPr>
          <w:rFonts w:ascii="Calibri-Italic" w:hAnsi="Calibri-Italic" w:cs="Calibri-Italic"/>
          <w:color w:val="3C3C3D"/>
        </w:rPr>
        <w:t xml:space="preserve">, </w:t>
      </w:r>
      <w:r w:rsidR="00C4525B">
        <w:rPr>
          <w:rFonts w:ascii="Calibri-Italic" w:hAnsi="Calibri-Italic" w:cs="Calibri-Italic"/>
          <w:color w:val="3C3C3D"/>
        </w:rPr>
        <w:t xml:space="preserve">we stated: </w:t>
      </w:r>
      <w:r w:rsidR="00C4525B">
        <w:rPr>
          <w:rFonts w:ascii="Calibri-Italic" w:hAnsi="Calibri-Italic" w:cs="Calibri-Italic"/>
          <w:color w:val="3C3C3D"/>
        </w:rPr>
        <w:br/>
      </w:r>
      <w:r w:rsidR="00C4525B">
        <w:rPr>
          <w:rFonts w:ascii="Calibri-Italic" w:hAnsi="Calibri-Italic" w:cs="Calibri-Italic"/>
          <w:color w:val="3C3C3D"/>
        </w:rPr>
        <w:br/>
        <w:t xml:space="preserve"> </w:t>
      </w:r>
      <w:r w:rsidR="00C4525B" w:rsidRPr="00C4525B">
        <w:rPr>
          <w:rFonts w:ascii="Calibri-Italic" w:hAnsi="Calibri-Italic" w:cs="Calibri-Italic"/>
          <w:i/>
          <w:iCs/>
          <w:color w:val="3C3C3D"/>
        </w:rPr>
        <w:t>“</w:t>
      </w:r>
      <w:r w:rsidR="00C4525B" w:rsidRPr="00C4525B">
        <w:rPr>
          <w:i/>
          <w:iCs/>
        </w:rPr>
        <w:t>Inaccuracies in the RDS continue to cause harm and confusion in the marketplace and facilitate DNS abuse.”</w:t>
      </w:r>
      <w:r w:rsidR="00C4525B">
        <w:rPr>
          <w:rStyle w:val="FootnoteReference"/>
          <w:rFonts w:ascii="Calibri-Italic" w:hAnsi="Calibri-Italic" w:cs="Calibri-Italic"/>
          <w:color w:val="3C3C3D"/>
        </w:rPr>
        <w:footnoteReference w:id="2"/>
      </w:r>
      <w:r w:rsidR="00024E90">
        <w:rPr>
          <w:i/>
          <w:iCs/>
        </w:rPr>
        <w:br/>
      </w:r>
    </w:p>
    <w:p w14:paraId="05FCDC0F" w14:textId="3A040EAF" w:rsidR="00A901F9" w:rsidRDefault="00A901F9" w:rsidP="00A901F9">
      <w:pPr>
        <w:rPr>
          <w:rFonts w:ascii="Calibri-Italic" w:hAnsi="Calibri-Italic" w:cs="Calibri-Italic"/>
          <w:color w:val="3C3C3D"/>
        </w:rPr>
      </w:pPr>
      <w:r w:rsidRPr="00C4525B">
        <w:rPr>
          <w:rFonts w:ascii="Calibri-Italic" w:hAnsi="Calibri-Italic" w:cs="Calibri-Italic"/>
          <w:b/>
          <w:bCs/>
          <w:color w:val="3C3C3D"/>
          <w:sz w:val="24"/>
          <w:szCs w:val="24"/>
          <w:u w:val="single"/>
        </w:rPr>
        <w:t xml:space="preserve">Accuracy </w:t>
      </w:r>
      <w:r w:rsidR="00424DA5">
        <w:rPr>
          <w:rFonts w:ascii="Calibri-Italic" w:hAnsi="Calibri-Italic" w:cs="Calibri-Italic"/>
          <w:b/>
          <w:bCs/>
          <w:color w:val="3C3C3D"/>
          <w:sz w:val="24"/>
          <w:szCs w:val="24"/>
          <w:u w:val="single"/>
        </w:rPr>
        <w:t>A</w:t>
      </w:r>
      <w:r w:rsidRPr="00C4525B">
        <w:rPr>
          <w:rFonts w:ascii="Calibri-Italic" w:hAnsi="Calibri-Italic" w:cs="Calibri-Italic"/>
          <w:b/>
          <w:bCs/>
          <w:color w:val="3C3C3D"/>
          <w:sz w:val="24"/>
          <w:szCs w:val="24"/>
          <w:u w:val="single"/>
        </w:rPr>
        <w:t xml:space="preserve">s Applied </w:t>
      </w:r>
      <w:proofErr w:type="gramStart"/>
      <w:r w:rsidR="00424DA5">
        <w:rPr>
          <w:rFonts w:ascii="Calibri-Italic" w:hAnsi="Calibri-Italic" w:cs="Calibri-Italic"/>
          <w:b/>
          <w:bCs/>
          <w:color w:val="3C3C3D"/>
          <w:sz w:val="24"/>
          <w:szCs w:val="24"/>
          <w:u w:val="single"/>
        </w:rPr>
        <w:t>T</w:t>
      </w:r>
      <w:r w:rsidRPr="00C4525B">
        <w:rPr>
          <w:rFonts w:ascii="Calibri-Italic" w:hAnsi="Calibri-Italic" w:cs="Calibri-Italic"/>
          <w:b/>
          <w:bCs/>
          <w:color w:val="3C3C3D"/>
          <w:sz w:val="24"/>
          <w:szCs w:val="24"/>
          <w:u w:val="single"/>
        </w:rPr>
        <w:t>o</w:t>
      </w:r>
      <w:proofErr w:type="gramEnd"/>
      <w:r w:rsidRPr="00C4525B">
        <w:rPr>
          <w:rFonts w:ascii="Calibri-Italic" w:hAnsi="Calibri-Italic" w:cs="Calibri-Italic"/>
          <w:b/>
          <w:bCs/>
          <w:color w:val="3C3C3D"/>
          <w:sz w:val="24"/>
          <w:szCs w:val="24"/>
          <w:u w:val="single"/>
        </w:rPr>
        <w:t xml:space="preserve"> WHOIS Data </w:t>
      </w:r>
      <w:r w:rsidR="00424DA5">
        <w:rPr>
          <w:rFonts w:ascii="Calibri-Italic" w:hAnsi="Calibri-Italic" w:cs="Calibri-Italic"/>
          <w:b/>
          <w:bCs/>
          <w:color w:val="3C3C3D"/>
          <w:sz w:val="24"/>
          <w:szCs w:val="24"/>
          <w:u w:val="single"/>
        </w:rPr>
        <w:t>Is A</w:t>
      </w:r>
      <w:r w:rsidRPr="00C4525B">
        <w:rPr>
          <w:rFonts w:ascii="Calibri-Italic" w:hAnsi="Calibri-Italic" w:cs="Calibri-Italic"/>
          <w:b/>
          <w:bCs/>
          <w:color w:val="3C3C3D"/>
          <w:sz w:val="24"/>
          <w:szCs w:val="24"/>
          <w:u w:val="single"/>
        </w:rPr>
        <w:t>n Objective Standard</w:t>
      </w:r>
      <w:r w:rsidRPr="00C4525B">
        <w:rPr>
          <w:rFonts w:ascii="Calibri-Italic" w:hAnsi="Calibri-Italic" w:cs="Calibri-Italic"/>
          <w:b/>
          <w:bCs/>
          <w:color w:val="3C3C3D"/>
          <w:sz w:val="24"/>
          <w:szCs w:val="24"/>
        </w:rPr>
        <w:t>:</w:t>
      </w:r>
      <w:r>
        <w:rPr>
          <w:rFonts w:ascii="Calibri-Italic" w:hAnsi="Calibri-Italic" w:cs="Calibri-Italic"/>
          <w:color w:val="3C3C3D"/>
        </w:rPr>
        <w:t xml:space="preserve">  As ICANN has undertaken to adapt its policies to the EU GDPR, arguments </w:t>
      </w:r>
      <w:r w:rsidR="00F843F6">
        <w:rPr>
          <w:rFonts w:ascii="Calibri-Italic" w:hAnsi="Calibri-Italic" w:cs="Calibri-Italic"/>
          <w:color w:val="3C3C3D"/>
        </w:rPr>
        <w:t>include</w:t>
      </w:r>
      <w:r>
        <w:rPr>
          <w:rFonts w:ascii="Calibri-Italic" w:hAnsi="Calibri-Italic" w:cs="Calibri-Italic"/>
          <w:color w:val="3C3C3D"/>
        </w:rPr>
        <w:t xml:space="preserve"> that accuracy is an exclusive right of the data subject (the registrant in the case of WHOIS data) and </w:t>
      </w:r>
      <w:r w:rsidR="00752394">
        <w:rPr>
          <w:rFonts w:ascii="Calibri-Italic" w:hAnsi="Calibri-Italic" w:cs="Calibri-Italic"/>
          <w:color w:val="3C3C3D"/>
        </w:rPr>
        <w:t xml:space="preserve">that </w:t>
      </w:r>
      <w:r>
        <w:rPr>
          <w:rFonts w:ascii="Calibri-Italic" w:hAnsi="Calibri-Italic" w:cs="Calibri-Italic"/>
          <w:color w:val="3C3C3D"/>
        </w:rPr>
        <w:t xml:space="preserve">it is up to the data subject to decide whether </w:t>
      </w:r>
      <w:r w:rsidR="0047067C">
        <w:rPr>
          <w:rFonts w:ascii="Calibri-Italic" w:hAnsi="Calibri-Italic" w:cs="Calibri-Italic"/>
          <w:color w:val="3C3C3D"/>
        </w:rPr>
        <w:t>their</w:t>
      </w:r>
      <w:r>
        <w:rPr>
          <w:rFonts w:ascii="Calibri-Italic" w:hAnsi="Calibri-Italic" w:cs="Calibri-Italic"/>
          <w:color w:val="3C3C3D"/>
        </w:rPr>
        <w:t xml:space="preserve"> data is accurate.  The IPC rejects this </w:t>
      </w:r>
      <w:r w:rsidR="00E967F3">
        <w:rPr>
          <w:rFonts w:ascii="Calibri-Italic" w:hAnsi="Calibri-Italic" w:cs="Calibri-Italic"/>
          <w:color w:val="3C3C3D"/>
        </w:rPr>
        <w:t>argument.  As set forth in the IPC’s joint Minority Statement on the EPDP Phase 2 Final Report</w:t>
      </w:r>
      <w:r w:rsidR="0084798E">
        <w:rPr>
          <w:rFonts w:ascii="Calibri-Italic" w:hAnsi="Calibri-Italic" w:cs="Calibri-Italic"/>
          <w:color w:val="3C3C3D"/>
        </w:rPr>
        <w:t>:</w:t>
      </w:r>
    </w:p>
    <w:p w14:paraId="14A341A6" w14:textId="11118371" w:rsidR="0084798E" w:rsidRDefault="0084798E" w:rsidP="00A901F9">
      <w:pPr>
        <w:rPr>
          <w:i/>
          <w:iCs/>
        </w:rPr>
      </w:pPr>
      <w:r w:rsidRPr="0084798E">
        <w:rPr>
          <w:i/>
          <w:iCs/>
        </w:rPr>
        <w:t xml:space="preserve">“The Phase 2 Report fails to address the fundamental issue of accuracy of registrant data, as was agreed by the EPDP in Phase 1, despite the fact that there are adequate tools today to verify the accuracy of registrant data. The inaccuracy of WHOIS data has been problematic for over 20 years. The EPDP Team failed to follow the legal advice it had requested with respect to the interpretation of accuracy requirements under the GDPR. The EPDP Team also failed to follow the advice of the European Commission, which confirmed that data accuracy is not solely in the interest of the data subject. Patently false data is not protected under data privacy laws, and preserving the wholesale redaction of false or </w:t>
      </w:r>
      <w:r w:rsidRPr="0084798E">
        <w:rPr>
          <w:i/>
          <w:iCs/>
        </w:rPr>
        <w:lastRenderedPageBreak/>
        <w:t>fictitious registrant data from the DNS represents another failure of the EPDP, which further erodes trust, accountability and transparency in the DNS.”</w:t>
      </w:r>
      <w:r w:rsidR="00C4525B">
        <w:rPr>
          <w:rStyle w:val="FootnoteReference"/>
          <w:i/>
          <w:iCs/>
        </w:rPr>
        <w:footnoteReference w:id="3"/>
      </w:r>
    </w:p>
    <w:p w14:paraId="67EC2F69" w14:textId="4E9A064A" w:rsidR="00591115" w:rsidRDefault="00591115" w:rsidP="00A901F9">
      <w:pPr>
        <w:rPr>
          <w:i/>
          <w:iCs/>
        </w:rPr>
      </w:pPr>
    </w:p>
    <w:p w14:paraId="05F02039" w14:textId="13BC9AFC" w:rsidR="00591115" w:rsidRDefault="00591115" w:rsidP="00A901F9">
      <w:r w:rsidRPr="006E6870">
        <w:rPr>
          <w:b/>
          <w:bCs/>
          <w:sz w:val="24"/>
          <w:szCs w:val="24"/>
          <w:u w:val="single"/>
        </w:rPr>
        <w:t xml:space="preserve">The IPC Supports </w:t>
      </w:r>
      <w:proofErr w:type="gramStart"/>
      <w:r w:rsidR="00424DA5">
        <w:rPr>
          <w:b/>
          <w:bCs/>
          <w:sz w:val="24"/>
          <w:szCs w:val="24"/>
          <w:u w:val="single"/>
        </w:rPr>
        <w:t>T</w:t>
      </w:r>
      <w:r w:rsidRPr="006E6870">
        <w:rPr>
          <w:b/>
          <w:bCs/>
          <w:sz w:val="24"/>
          <w:szCs w:val="24"/>
          <w:u w:val="single"/>
        </w:rPr>
        <w:t>he</w:t>
      </w:r>
      <w:proofErr w:type="gramEnd"/>
      <w:r w:rsidRPr="006E6870">
        <w:rPr>
          <w:b/>
          <w:bCs/>
          <w:sz w:val="24"/>
          <w:szCs w:val="24"/>
          <w:u w:val="single"/>
        </w:rPr>
        <w:t xml:space="preserve"> Accuracy Requirements </w:t>
      </w:r>
      <w:r w:rsidR="00424DA5">
        <w:rPr>
          <w:b/>
          <w:bCs/>
          <w:sz w:val="24"/>
          <w:szCs w:val="24"/>
          <w:u w:val="single"/>
        </w:rPr>
        <w:t>I</w:t>
      </w:r>
      <w:r w:rsidRPr="006E6870">
        <w:rPr>
          <w:b/>
          <w:bCs/>
          <w:sz w:val="24"/>
          <w:szCs w:val="24"/>
          <w:u w:val="single"/>
        </w:rPr>
        <w:t xml:space="preserve">n </w:t>
      </w:r>
      <w:r w:rsidR="00424DA5">
        <w:rPr>
          <w:b/>
          <w:bCs/>
          <w:sz w:val="24"/>
          <w:szCs w:val="24"/>
          <w:u w:val="single"/>
        </w:rPr>
        <w:t>T</w:t>
      </w:r>
      <w:r w:rsidRPr="006E6870">
        <w:rPr>
          <w:b/>
          <w:bCs/>
          <w:sz w:val="24"/>
          <w:szCs w:val="24"/>
          <w:u w:val="single"/>
        </w:rPr>
        <w:t xml:space="preserve">he RA </w:t>
      </w:r>
      <w:r w:rsidR="00424DA5">
        <w:rPr>
          <w:b/>
          <w:bCs/>
          <w:sz w:val="24"/>
          <w:szCs w:val="24"/>
          <w:u w:val="single"/>
        </w:rPr>
        <w:t>A</w:t>
      </w:r>
      <w:r w:rsidRPr="006E6870">
        <w:rPr>
          <w:b/>
          <w:bCs/>
          <w:sz w:val="24"/>
          <w:szCs w:val="24"/>
          <w:u w:val="single"/>
        </w:rPr>
        <w:t>nd RAA</w:t>
      </w:r>
      <w:r w:rsidRPr="006E6870">
        <w:rPr>
          <w:b/>
          <w:bCs/>
          <w:sz w:val="24"/>
          <w:szCs w:val="24"/>
        </w:rPr>
        <w:t>:</w:t>
      </w:r>
      <w:r>
        <w:t xml:space="preserve">  </w:t>
      </w:r>
      <w:r w:rsidR="006E6870">
        <w:t>The IPC supports the current contractual provisions in the Base Registry Agreement and the 2013 Registrar Accreditation Agreement</w:t>
      </w:r>
      <w:r w:rsidR="00023766">
        <w:t xml:space="preserve"> </w:t>
      </w:r>
      <w:r w:rsidR="00C542AB">
        <w:t xml:space="preserve">as the </w:t>
      </w:r>
      <w:r w:rsidR="00C542AB" w:rsidRPr="00C542AB">
        <w:rPr>
          <w:u w:val="single"/>
        </w:rPr>
        <w:t>minimum</w:t>
      </w:r>
      <w:r w:rsidR="00C542AB">
        <w:t xml:space="preserve"> requirements necessary to address</w:t>
      </w:r>
      <w:r w:rsidR="00023766">
        <w:t xml:space="preserve"> accuracy of WHOIS data</w:t>
      </w:r>
      <w:r w:rsidR="006E6870">
        <w:t xml:space="preserve">. </w:t>
      </w:r>
      <w:r w:rsidR="00023766">
        <w:t xml:space="preserve"> With respect to the RAA, these include sections 3.3.4, 3.7.7.1, 3.7.7.2, 3.7.7.3, 3.7.8 (including the WHOIS Accuracy Program Specification), and 5.5.2.1.3.  </w:t>
      </w:r>
    </w:p>
    <w:p w14:paraId="18A37EFE" w14:textId="534B870D" w:rsidR="00024E90" w:rsidRDefault="00024E90" w:rsidP="00A901F9"/>
    <w:p w14:paraId="1388E115" w14:textId="40BEB39D" w:rsidR="00024E90" w:rsidRDefault="00024E90" w:rsidP="00A901F9">
      <w:pPr>
        <w:rPr>
          <w:i/>
          <w:iCs/>
        </w:rPr>
      </w:pPr>
      <w:r w:rsidRPr="00024E90">
        <w:rPr>
          <w:b/>
          <w:bCs/>
          <w:sz w:val="24"/>
          <w:szCs w:val="24"/>
          <w:u w:val="single"/>
        </w:rPr>
        <w:t xml:space="preserve">The Accuracy Requirements </w:t>
      </w:r>
      <w:proofErr w:type="gramStart"/>
      <w:r w:rsidR="00424DA5">
        <w:rPr>
          <w:b/>
          <w:bCs/>
          <w:sz w:val="24"/>
          <w:szCs w:val="24"/>
          <w:u w:val="single"/>
        </w:rPr>
        <w:t>I</w:t>
      </w:r>
      <w:r w:rsidRPr="00024E90">
        <w:rPr>
          <w:b/>
          <w:bCs/>
          <w:sz w:val="24"/>
          <w:szCs w:val="24"/>
          <w:u w:val="single"/>
        </w:rPr>
        <w:t>n</w:t>
      </w:r>
      <w:proofErr w:type="gramEnd"/>
      <w:r w:rsidRPr="00024E90">
        <w:rPr>
          <w:b/>
          <w:bCs/>
          <w:sz w:val="24"/>
          <w:szCs w:val="24"/>
          <w:u w:val="single"/>
        </w:rPr>
        <w:t xml:space="preserve"> </w:t>
      </w:r>
      <w:r w:rsidR="00424DA5">
        <w:rPr>
          <w:b/>
          <w:bCs/>
          <w:sz w:val="24"/>
          <w:szCs w:val="24"/>
          <w:u w:val="single"/>
        </w:rPr>
        <w:t>T</w:t>
      </w:r>
      <w:r w:rsidRPr="00024E90">
        <w:rPr>
          <w:b/>
          <w:bCs/>
          <w:sz w:val="24"/>
          <w:szCs w:val="24"/>
          <w:u w:val="single"/>
        </w:rPr>
        <w:t xml:space="preserve">he RAA </w:t>
      </w:r>
      <w:r w:rsidR="00424DA5">
        <w:rPr>
          <w:b/>
          <w:bCs/>
          <w:sz w:val="24"/>
          <w:szCs w:val="24"/>
          <w:u w:val="single"/>
        </w:rPr>
        <w:t>A</w:t>
      </w:r>
      <w:r w:rsidRPr="00024E90">
        <w:rPr>
          <w:b/>
          <w:bCs/>
          <w:sz w:val="24"/>
          <w:szCs w:val="24"/>
          <w:u w:val="single"/>
        </w:rPr>
        <w:t>re Not Being Met</w:t>
      </w:r>
      <w:r w:rsidRPr="00024E90">
        <w:rPr>
          <w:b/>
          <w:bCs/>
          <w:sz w:val="24"/>
          <w:szCs w:val="24"/>
        </w:rPr>
        <w:t>:</w:t>
      </w:r>
      <w:r>
        <w:t xml:space="preserve">  The IPC has noted that </w:t>
      </w:r>
      <w:r w:rsidRPr="00833E8D">
        <w:rPr>
          <w:i/>
          <w:iCs/>
        </w:rPr>
        <w:t xml:space="preserve">“inaccuracy rates remain unacceptably high (in the 30-40% range)” </w:t>
      </w:r>
      <w:r>
        <w:t xml:space="preserve">and that </w:t>
      </w:r>
      <w:r w:rsidRPr="00833E8D">
        <w:rPr>
          <w:i/>
          <w:iCs/>
        </w:rPr>
        <w:t>“simple validation at the outset of WHOIS entry is an easy remedy to help reduce inaccuracy rates.”</w:t>
      </w:r>
      <w:r>
        <w:rPr>
          <w:rStyle w:val="FootnoteReference"/>
        </w:rPr>
        <w:footnoteReference w:id="4"/>
      </w:r>
      <w:r>
        <w:t xml:space="preserve">  The IPC</w:t>
      </w:r>
      <w:r w:rsidR="00833E8D">
        <w:t xml:space="preserve"> has further maintained that </w:t>
      </w:r>
      <w:r w:rsidR="00833E8D" w:rsidRPr="00833E8D">
        <w:rPr>
          <w:i/>
          <w:iCs/>
        </w:rPr>
        <w:t>“community-driven initiatives like cross-field validation should be implemented immediately.”</w:t>
      </w:r>
      <w:r w:rsidR="00833E8D">
        <w:rPr>
          <w:rStyle w:val="FootnoteReference"/>
          <w:i/>
          <w:iCs/>
        </w:rPr>
        <w:footnoteReference w:id="5"/>
      </w:r>
    </w:p>
    <w:p w14:paraId="074F820C" w14:textId="103CB7E4" w:rsidR="00833E8D" w:rsidRDefault="00833E8D" w:rsidP="00A901F9">
      <w:pPr>
        <w:rPr>
          <w:i/>
          <w:iCs/>
        </w:rPr>
      </w:pPr>
    </w:p>
    <w:p w14:paraId="04675BC8" w14:textId="1A69246F" w:rsidR="00833E8D" w:rsidRDefault="00833E8D" w:rsidP="00A901F9">
      <w:r w:rsidRPr="008E28FE">
        <w:rPr>
          <w:b/>
          <w:bCs/>
          <w:sz w:val="24"/>
          <w:szCs w:val="24"/>
          <w:u w:val="single"/>
        </w:rPr>
        <w:t xml:space="preserve">ICANN </w:t>
      </w:r>
      <w:r w:rsidR="008E28FE">
        <w:rPr>
          <w:b/>
          <w:bCs/>
          <w:sz w:val="24"/>
          <w:szCs w:val="24"/>
          <w:u w:val="single"/>
        </w:rPr>
        <w:t>Compliance</w:t>
      </w:r>
      <w:r w:rsidRPr="008E28FE">
        <w:rPr>
          <w:b/>
          <w:bCs/>
          <w:sz w:val="24"/>
          <w:szCs w:val="24"/>
          <w:u w:val="single"/>
        </w:rPr>
        <w:t xml:space="preserve"> Must Do </w:t>
      </w:r>
      <w:proofErr w:type="gramStart"/>
      <w:r w:rsidR="00424DA5">
        <w:rPr>
          <w:b/>
          <w:bCs/>
          <w:sz w:val="24"/>
          <w:szCs w:val="24"/>
          <w:u w:val="single"/>
        </w:rPr>
        <w:t>A</w:t>
      </w:r>
      <w:proofErr w:type="gramEnd"/>
      <w:r w:rsidRPr="008E28FE">
        <w:rPr>
          <w:b/>
          <w:bCs/>
          <w:sz w:val="24"/>
          <w:szCs w:val="24"/>
          <w:u w:val="single"/>
        </w:rPr>
        <w:t xml:space="preserve"> Much Better Job </w:t>
      </w:r>
      <w:r w:rsidR="00424DA5">
        <w:rPr>
          <w:b/>
          <w:bCs/>
          <w:sz w:val="24"/>
          <w:szCs w:val="24"/>
          <w:u w:val="single"/>
        </w:rPr>
        <w:t>O</w:t>
      </w:r>
      <w:r w:rsidRPr="008E28FE">
        <w:rPr>
          <w:b/>
          <w:bCs/>
          <w:sz w:val="24"/>
          <w:szCs w:val="24"/>
          <w:u w:val="single"/>
        </w:rPr>
        <w:t>f Enforcing Accuracy Contractual Requirements</w:t>
      </w:r>
      <w:r w:rsidRPr="008E28FE">
        <w:rPr>
          <w:b/>
          <w:bCs/>
          <w:sz w:val="24"/>
          <w:szCs w:val="24"/>
        </w:rPr>
        <w:t>:</w:t>
      </w:r>
      <w:r>
        <w:t xml:space="preserve">  The IPC explicitly supports all the RDS Review Team’s Recommendations and has stated</w:t>
      </w:r>
      <w:r w:rsidR="008A1737">
        <w:t>,</w:t>
      </w:r>
      <w:r>
        <w:t xml:space="preserve"> </w:t>
      </w:r>
      <w:r w:rsidRPr="00AA2D5F">
        <w:rPr>
          <w:i/>
          <w:iCs/>
        </w:rPr>
        <w:t>“</w:t>
      </w:r>
      <w:r w:rsidR="00AA2D5F" w:rsidRPr="00AA2D5F">
        <w:rPr>
          <w:i/>
          <w:iCs/>
        </w:rPr>
        <w:t>ICANN’s obligation to maintain the security, stability and reliability of the internet is predicated on ensuring and protecting the accuracy of its data quality and the integrity of registrant data</w:t>
      </w:r>
      <w:r w:rsidR="00AA2D5F">
        <w:rPr>
          <w:i/>
          <w:iCs/>
        </w:rPr>
        <w:t>.”</w:t>
      </w:r>
      <w:r w:rsidR="00AA2D5F">
        <w:t xml:space="preserve"> </w:t>
      </w:r>
      <w:r w:rsidR="008E28FE">
        <w:rPr>
          <w:rStyle w:val="FootnoteReference"/>
        </w:rPr>
        <w:footnoteReference w:id="6"/>
      </w:r>
      <w:r w:rsidR="008E28FE">
        <w:t xml:space="preserve"> The IPC believes that ICANN Compliance must devote more resources to enforcing contractual accuracy requirements and the IPC </w:t>
      </w:r>
      <w:r w:rsidR="008E28FE" w:rsidRPr="00AA2D5F">
        <w:rPr>
          <w:i/>
          <w:iCs/>
        </w:rPr>
        <w:t xml:space="preserve">“supports any recommendation to require Compliance to </w:t>
      </w:r>
      <w:r w:rsidR="008E28FE" w:rsidRPr="00AA2D5F">
        <w:rPr>
          <w:i/>
          <w:iCs/>
          <w:u w:val="single"/>
        </w:rPr>
        <w:t>proactively</w:t>
      </w:r>
      <w:r w:rsidR="008E28FE" w:rsidRPr="00AA2D5F">
        <w:rPr>
          <w:i/>
          <w:iCs/>
        </w:rPr>
        <w:t xml:space="preserve"> investigate using all data sources available to detect systemic information failure.”</w:t>
      </w:r>
      <w:r w:rsidR="008E28FE">
        <w:rPr>
          <w:rStyle w:val="FootnoteReference"/>
        </w:rPr>
        <w:footnoteReference w:id="7"/>
      </w:r>
      <w:r w:rsidR="008E28FE">
        <w:t xml:space="preserve"> (emphasis added).  Among the actions that the IPC maintains that Compliance must undertake to enforce accuracy requirements are: (</w:t>
      </w:r>
      <w:proofErr w:type="spellStart"/>
      <w:r w:rsidR="008E28FE">
        <w:t>i</w:t>
      </w:r>
      <w:proofErr w:type="spellEnd"/>
      <w:r w:rsidR="008E28FE">
        <w:t>) continued proactive monitoring through the Accuracy Reporting System, (ii) cross-referencing of data to detect patterns of failure to validate and verify WHOIS data, (iii)</w:t>
      </w:r>
      <w:r w:rsidR="00AA2D5F">
        <w:t xml:space="preserve"> addressing systemic issues, including as identified from information from sources other than inaccuracy complaints, and (iv) broadening its capabilities </w:t>
      </w:r>
      <w:r w:rsidR="00275C6D">
        <w:t>in furtherance of identifying and addressing inaccuracy.</w:t>
      </w:r>
      <w:r w:rsidR="00275C6D">
        <w:rPr>
          <w:rStyle w:val="FootnoteReference"/>
        </w:rPr>
        <w:footnoteReference w:id="8"/>
      </w:r>
    </w:p>
    <w:p w14:paraId="1FC98B22" w14:textId="11EB66B4" w:rsidR="00275C6D" w:rsidRDefault="00275C6D" w:rsidP="00A901F9"/>
    <w:p w14:paraId="0ECFC895" w14:textId="0608A15E" w:rsidR="00275C6D" w:rsidRPr="008E28FE" w:rsidRDefault="00275C6D" w:rsidP="00A901F9">
      <w:r w:rsidRPr="00275C6D">
        <w:rPr>
          <w:b/>
          <w:bCs/>
          <w:sz w:val="24"/>
          <w:szCs w:val="24"/>
          <w:u w:val="single"/>
        </w:rPr>
        <w:t xml:space="preserve">Any New Accuracy Project, PDP </w:t>
      </w:r>
      <w:r w:rsidR="00424DA5">
        <w:rPr>
          <w:b/>
          <w:bCs/>
          <w:sz w:val="24"/>
          <w:szCs w:val="24"/>
          <w:u w:val="single"/>
        </w:rPr>
        <w:t>O</w:t>
      </w:r>
      <w:r w:rsidRPr="00275C6D">
        <w:rPr>
          <w:b/>
          <w:bCs/>
          <w:sz w:val="24"/>
          <w:szCs w:val="24"/>
          <w:u w:val="single"/>
        </w:rPr>
        <w:t xml:space="preserve">r Policy Related Work </w:t>
      </w:r>
      <w:r w:rsidR="00424DA5">
        <w:rPr>
          <w:b/>
          <w:bCs/>
          <w:sz w:val="24"/>
          <w:szCs w:val="24"/>
          <w:u w:val="single"/>
        </w:rPr>
        <w:t>Must</w:t>
      </w:r>
      <w:r w:rsidRPr="00275C6D">
        <w:rPr>
          <w:b/>
          <w:bCs/>
          <w:sz w:val="24"/>
          <w:szCs w:val="24"/>
          <w:u w:val="single"/>
        </w:rPr>
        <w:t xml:space="preserve"> Not Weaken </w:t>
      </w:r>
      <w:proofErr w:type="gramStart"/>
      <w:r w:rsidR="00424DA5">
        <w:rPr>
          <w:b/>
          <w:bCs/>
          <w:sz w:val="24"/>
          <w:szCs w:val="24"/>
          <w:u w:val="single"/>
        </w:rPr>
        <w:t>O</w:t>
      </w:r>
      <w:r w:rsidRPr="00275C6D">
        <w:rPr>
          <w:b/>
          <w:bCs/>
          <w:sz w:val="24"/>
          <w:szCs w:val="24"/>
          <w:u w:val="single"/>
        </w:rPr>
        <w:t>r</w:t>
      </w:r>
      <w:proofErr w:type="gramEnd"/>
      <w:r w:rsidRPr="00275C6D">
        <w:rPr>
          <w:b/>
          <w:bCs/>
          <w:sz w:val="24"/>
          <w:szCs w:val="24"/>
          <w:u w:val="single"/>
        </w:rPr>
        <w:t xml:space="preserve"> Undermine Current Contractual Requirements</w:t>
      </w:r>
      <w:r w:rsidRPr="00275C6D">
        <w:rPr>
          <w:b/>
          <w:bCs/>
          <w:sz w:val="24"/>
          <w:szCs w:val="24"/>
        </w:rPr>
        <w:t>:</w:t>
      </w:r>
      <w:r>
        <w:t xml:space="preserve">  The IPC believes that accuracy of WHOIS data overall needs to be improved and that current contractual provisions need to be better enforced.  The IPC asserts that the GDPR should not be used as a basis or excuse from backing away from these imperatives.  The IPC believes that any new Accuracy project or policy work undertaken by the GNSO Council should </w:t>
      </w:r>
      <w:r w:rsidRPr="00275C6D">
        <w:rPr>
          <w:u w:val="single"/>
        </w:rPr>
        <w:t>not</w:t>
      </w:r>
      <w:r>
        <w:t xml:space="preserve"> be used to back away from or undercut any of the current contractual requirements in the RA and RAA concerning WHOIS data accuracy.   If any such work or project is undertaken, it needs to be with the clear acknowledgment that the current </w:t>
      </w:r>
      <w:r w:rsidR="00322EDD">
        <w:t>accuracy-related</w:t>
      </w:r>
      <w:r>
        <w:t xml:space="preserve"> contractual requirements may not </w:t>
      </w:r>
      <w:r w:rsidR="002B697C">
        <w:t>be weakened</w:t>
      </w:r>
      <w:r w:rsidR="00643B00">
        <w:t xml:space="preserve"> and establish the minimum requirements with respect to accuracy of WHOIS data</w:t>
      </w:r>
      <w:r>
        <w:t>.</w:t>
      </w:r>
    </w:p>
    <w:sectPr w:rsidR="00275C6D" w:rsidRPr="008E28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76FB" w14:textId="77777777" w:rsidR="00FD5B2A" w:rsidRDefault="00FD5B2A" w:rsidP="0084798E">
      <w:pPr>
        <w:spacing w:after="0" w:line="240" w:lineRule="auto"/>
      </w:pPr>
      <w:r>
        <w:separator/>
      </w:r>
    </w:p>
  </w:endnote>
  <w:endnote w:type="continuationSeparator" w:id="0">
    <w:p w14:paraId="04973BAF" w14:textId="77777777" w:rsidR="00FD5B2A" w:rsidRDefault="00FD5B2A" w:rsidP="0084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Italic">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468913"/>
      <w:docPartObj>
        <w:docPartGallery w:val="Page Numbers (Bottom of Page)"/>
        <w:docPartUnique/>
      </w:docPartObj>
    </w:sdtPr>
    <w:sdtEndPr>
      <w:rPr>
        <w:noProof/>
      </w:rPr>
    </w:sdtEndPr>
    <w:sdtContent>
      <w:p w14:paraId="058B2B6A" w14:textId="62D2E0E7" w:rsidR="00AD40CC" w:rsidRDefault="00AD4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F4632" w14:textId="77777777" w:rsidR="00AD40CC" w:rsidRDefault="00AD4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C120" w14:textId="77777777" w:rsidR="00FD5B2A" w:rsidRDefault="00FD5B2A" w:rsidP="0084798E">
      <w:pPr>
        <w:spacing w:after="0" w:line="240" w:lineRule="auto"/>
      </w:pPr>
      <w:r>
        <w:separator/>
      </w:r>
    </w:p>
  </w:footnote>
  <w:footnote w:type="continuationSeparator" w:id="0">
    <w:p w14:paraId="1A4790D0" w14:textId="77777777" w:rsidR="00FD5B2A" w:rsidRDefault="00FD5B2A" w:rsidP="0084798E">
      <w:pPr>
        <w:spacing w:after="0" w:line="240" w:lineRule="auto"/>
      </w:pPr>
      <w:r>
        <w:continuationSeparator/>
      </w:r>
    </w:p>
  </w:footnote>
  <w:footnote w:id="1">
    <w:p w14:paraId="14A1BE34" w14:textId="76E44054" w:rsidR="0084798E" w:rsidRDefault="0084798E">
      <w:pPr>
        <w:pStyle w:val="FootnoteText"/>
      </w:pPr>
      <w:r>
        <w:rPr>
          <w:rStyle w:val="FootnoteReference"/>
        </w:rPr>
        <w:footnoteRef/>
      </w:r>
      <w:r>
        <w:t xml:space="preserve"> </w:t>
      </w:r>
      <w:hyperlink r:id="rId1" w:history="1">
        <w:r w:rsidRPr="00A42B9E">
          <w:rPr>
            <w:rStyle w:val="Hyperlink"/>
          </w:rPr>
          <w:t>https://policyreview.info/articles/analysis/regulation-abusive-activity-content-study-registries-terms-service</w:t>
        </w:r>
      </w:hyperlink>
      <w:r>
        <w:t xml:space="preserve"> </w:t>
      </w:r>
    </w:p>
  </w:footnote>
  <w:footnote w:id="2">
    <w:p w14:paraId="3C440803" w14:textId="2866090B" w:rsidR="00C4525B" w:rsidRDefault="00C4525B">
      <w:pPr>
        <w:pStyle w:val="FootnoteText"/>
      </w:pPr>
      <w:r>
        <w:rPr>
          <w:rStyle w:val="FootnoteReference"/>
        </w:rPr>
        <w:footnoteRef/>
      </w:r>
      <w:r>
        <w:t xml:space="preserve"> </w:t>
      </w:r>
      <w:hyperlink r:id="rId2" w:history="1">
        <w:r w:rsidRPr="00A42B9E">
          <w:rPr>
            <w:rStyle w:val="Hyperlink"/>
          </w:rPr>
          <w:t>https://www.ipconstituency.org/assets/ipc-position-papers/2019/2019_12December_23%20IPC%20Comments%20re%20RDS-WHOIS2%20Review.pdf</w:t>
        </w:r>
      </w:hyperlink>
      <w:r>
        <w:t xml:space="preserve"> </w:t>
      </w:r>
    </w:p>
  </w:footnote>
  <w:footnote w:id="3">
    <w:p w14:paraId="66931D3E" w14:textId="3203C49C" w:rsidR="00C4525B" w:rsidRDefault="00C4525B">
      <w:pPr>
        <w:pStyle w:val="FootnoteText"/>
      </w:pPr>
      <w:r>
        <w:rPr>
          <w:rStyle w:val="FootnoteReference"/>
        </w:rPr>
        <w:footnoteRef/>
      </w:r>
      <w:r>
        <w:t xml:space="preserve"> </w:t>
      </w:r>
      <w:hyperlink r:id="rId3" w:history="1">
        <w:r w:rsidRPr="00A42B9E">
          <w:rPr>
            <w:rStyle w:val="Hyperlink"/>
          </w:rPr>
          <w:t>https://www.ipconstituency.org/assets/ipc-position-papers/2020/2020_07July_29%20Minority%20Statement%20of%20the%20BC%20and%20IPC%20on%20the%20EPDP%20Phase%202%20Final%20Report.pdf</w:t>
        </w:r>
      </w:hyperlink>
      <w:r>
        <w:t xml:space="preserve"> </w:t>
      </w:r>
    </w:p>
  </w:footnote>
  <w:footnote w:id="4">
    <w:p w14:paraId="7060698A" w14:textId="18CFE679" w:rsidR="00024E90" w:rsidRDefault="00024E90">
      <w:pPr>
        <w:pStyle w:val="FootnoteText"/>
      </w:pPr>
      <w:r>
        <w:rPr>
          <w:rStyle w:val="FootnoteReference"/>
        </w:rPr>
        <w:footnoteRef/>
      </w:r>
      <w:r>
        <w:t xml:space="preserve"> </w:t>
      </w:r>
      <w:hyperlink r:id="rId4" w:history="1">
        <w:r w:rsidRPr="00BF67B3">
          <w:rPr>
            <w:rStyle w:val="Hyperlink"/>
          </w:rPr>
          <w:t>https://www.ipconstituency.org/assets/ipc-position-papers/2019/2019_12December_23%20IPC%20Comments%20re%20RDS-WHOIS2%20Review.pdf</w:t>
        </w:r>
      </w:hyperlink>
      <w:r>
        <w:t xml:space="preserve"> </w:t>
      </w:r>
    </w:p>
  </w:footnote>
  <w:footnote w:id="5">
    <w:p w14:paraId="1AE10DBC" w14:textId="02E39BA8" w:rsidR="00833E8D" w:rsidRDefault="00833E8D">
      <w:pPr>
        <w:pStyle w:val="FootnoteText"/>
      </w:pPr>
      <w:r>
        <w:rPr>
          <w:rStyle w:val="FootnoteReference"/>
        </w:rPr>
        <w:footnoteRef/>
      </w:r>
      <w:r>
        <w:t xml:space="preserve"> Ibid</w:t>
      </w:r>
    </w:p>
  </w:footnote>
  <w:footnote w:id="6">
    <w:p w14:paraId="7D48770F" w14:textId="62C8D76D" w:rsidR="008E28FE" w:rsidRDefault="008E28FE">
      <w:pPr>
        <w:pStyle w:val="FootnoteText"/>
      </w:pPr>
      <w:r>
        <w:rPr>
          <w:rStyle w:val="FootnoteReference"/>
        </w:rPr>
        <w:footnoteRef/>
      </w:r>
      <w:r>
        <w:t xml:space="preserve"> Ibid</w:t>
      </w:r>
    </w:p>
  </w:footnote>
  <w:footnote w:id="7">
    <w:p w14:paraId="6E620C30" w14:textId="13E2255C" w:rsidR="008E28FE" w:rsidRDefault="008E28FE">
      <w:pPr>
        <w:pStyle w:val="FootnoteText"/>
      </w:pPr>
      <w:r>
        <w:rPr>
          <w:rStyle w:val="FootnoteReference"/>
        </w:rPr>
        <w:footnoteRef/>
      </w:r>
      <w:r>
        <w:t xml:space="preserve"> Ibid</w:t>
      </w:r>
    </w:p>
  </w:footnote>
  <w:footnote w:id="8">
    <w:p w14:paraId="2AF3ADDA" w14:textId="5DBA4F1F" w:rsidR="00275C6D" w:rsidRDefault="00275C6D">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53491"/>
    <w:multiLevelType w:val="hybridMultilevel"/>
    <w:tmpl w:val="D6B6A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4361B"/>
    <w:multiLevelType w:val="hybridMultilevel"/>
    <w:tmpl w:val="E1006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4A"/>
    <w:rsid w:val="00023766"/>
    <w:rsid w:val="00024E90"/>
    <w:rsid w:val="00077923"/>
    <w:rsid w:val="00134972"/>
    <w:rsid w:val="00275C6D"/>
    <w:rsid w:val="002B697C"/>
    <w:rsid w:val="00322EDD"/>
    <w:rsid w:val="003E15B7"/>
    <w:rsid w:val="00424DA5"/>
    <w:rsid w:val="0047067C"/>
    <w:rsid w:val="00486100"/>
    <w:rsid w:val="00591115"/>
    <w:rsid w:val="00614B10"/>
    <w:rsid w:val="006371DA"/>
    <w:rsid w:val="00643B00"/>
    <w:rsid w:val="006A4113"/>
    <w:rsid w:val="006E6870"/>
    <w:rsid w:val="00752394"/>
    <w:rsid w:val="00764E37"/>
    <w:rsid w:val="00772BBA"/>
    <w:rsid w:val="007969C0"/>
    <w:rsid w:val="007D021E"/>
    <w:rsid w:val="00833E8D"/>
    <w:rsid w:val="0084798E"/>
    <w:rsid w:val="00864EE1"/>
    <w:rsid w:val="008A1737"/>
    <w:rsid w:val="008E28FE"/>
    <w:rsid w:val="00A901F9"/>
    <w:rsid w:val="00AA2D5F"/>
    <w:rsid w:val="00AD40CC"/>
    <w:rsid w:val="00C4525B"/>
    <w:rsid w:val="00C5238E"/>
    <w:rsid w:val="00C542AB"/>
    <w:rsid w:val="00C8564A"/>
    <w:rsid w:val="00D93037"/>
    <w:rsid w:val="00E967F3"/>
    <w:rsid w:val="00EE1F46"/>
    <w:rsid w:val="00F843F6"/>
    <w:rsid w:val="00FA6D80"/>
    <w:rsid w:val="00FD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108"/>
  <w15:chartTrackingRefBased/>
  <w15:docId w15:val="{4AA22BE0-2BC0-43E2-83EA-F284E30E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64A"/>
    <w:pPr>
      <w:ind w:left="720"/>
      <w:contextualSpacing/>
    </w:pPr>
  </w:style>
  <w:style w:type="character" w:styleId="CommentReference">
    <w:name w:val="annotation reference"/>
    <w:basedOn w:val="DefaultParagraphFont"/>
    <w:uiPriority w:val="99"/>
    <w:semiHidden/>
    <w:unhideWhenUsed/>
    <w:rsid w:val="00C8564A"/>
    <w:rPr>
      <w:sz w:val="16"/>
      <w:szCs w:val="16"/>
    </w:rPr>
  </w:style>
  <w:style w:type="paragraph" w:styleId="CommentText">
    <w:name w:val="annotation text"/>
    <w:basedOn w:val="Normal"/>
    <w:link w:val="CommentTextChar"/>
    <w:uiPriority w:val="99"/>
    <w:semiHidden/>
    <w:unhideWhenUsed/>
    <w:rsid w:val="00C8564A"/>
    <w:pPr>
      <w:spacing w:line="240" w:lineRule="auto"/>
    </w:pPr>
    <w:rPr>
      <w:sz w:val="20"/>
      <w:szCs w:val="20"/>
    </w:rPr>
  </w:style>
  <w:style w:type="character" w:customStyle="1" w:styleId="CommentTextChar">
    <w:name w:val="Comment Text Char"/>
    <w:basedOn w:val="DefaultParagraphFont"/>
    <w:link w:val="CommentText"/>
    <w:uiPriority w:val="99"/>
    <w:semiHidden/>
    <w:rsid w:val="00C8564A"/>
    <w:rPr>
      <w:sz w:val="20"/>
      <w:szCs w:val="20"/>
    </w:rPr>
  </w:style>
  <w:style w:type="paragraph" w:styleId="CommentSubject">
    <w:name w:val="annotation subject"/>
    <w:basedOn w:val="CommentText"/>
    <w:next w:val="CommentText"/>
    <w:link w:val="CommentSubjectChar"/>
    <w:uiPriority w:val="99"/>
    <w:semiHidden/>
    <w:unhideWhenUsed/>
    <w:rsid w:val="00C8564A"/>
    <w:rPr>
      <w:b/>
      <w:bCs/>
    </w:rPr>
  </w:style>
  <w:style w:type="character" w:customStyle="1" w:styleId="CommentSubjectChar">
    <w:name w:val="Comment Subject Char"/>
    <w:basedOn w:val="CommentTextChar"/>
    <w:link w:val="CommentSubject"/>
    <w:uiPriority w:val="99"/>
    <w:semiHidden/>
    <w:rsid w:val="00C8564A"/>
    <w:rPr>
      <w:b/>
      <w:bCs/>
      <w:sz w:val="20"/>
      <w:szCs w:val="20"/>
    </w:rPr>
  </w:style>
  <w:style w:type="paragraph" w:styleId="FootnoteText">
    <w:name w:val="footnote text"/>
    <w:basedOn w:val="Normal"/>
    <w:link w:val="FootnoteTextChar"/>
    <w:uiPriority w:val="99"/>
    <w:semiHidden/>
    <w:unhideWhenUsed/>
    <w:rsid w:val="00847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98E"/>
    <w:rPr>
      <w:sz w:val="20"/>
      <w:szCs w:val="20"/>
    </w:rPr>
  </w:style>
  <w:style w:type="character" w:styleId="FootnoteReference">
    <w:name w:val="footnote reference"/>
    <w:basedOn w:val="DefaultParagraphFont"/>
    <w:uiPriority w:val="99"/>
    <w:semiHidden/>
    <w:unhideWhenUsed/>
    <w:rsid w:val="0084798E"/>
    <w:rPr>
      <w:vertAlign w:val="superscript"/>
    </w:rPr>
  </w:style>
  <w:style w:type="character" w:styleId="Hyperlink">
    <w:name w:val="Hyperlink"/>
    <w:basedOn w:val="DefaultParagraphFont"/>
    <w:uiPriority w:val="99"/>
    <w:unhideWhenUsed/>
    <w:rsid w:val="0084798E"/>
    <w:rPr>
      <w:color w:val="0563C1" w:themeColor="hyperlink"/>
      <w:u w:val="single"/>
    </w:rPr>
  </w:style>
  <w:style w:type="character" w:styleId="UnresolvedMention">
    <w:name w:val="Unresolved Mention"/>
    <w:basedOn w:val="DefaultParagraphFont"/>
    <w:uiPriority w:val="99"/>
    <w:semiHidden/>
    <w:unhideWhenUsed/>
    <w:rsid w:val="0084798E"/>
    <w:rPr>
      <w:color w:val="605E5C"/>
      <w:shd w:val="clear" w:color="auto" w:fill="E1DFDD"/>
    </w:rPr>
  </w:style>
  <w:style w:type="paragraph" w:styleId="Header">
    <w:name w:val="header"/>
    <w:basedOn w:val="Normal"/>
    <w:link w:val="HeaderChar"/>
    <w:uiPriority w:val="99"/>
    <w:unhideWhenUsed/>
    <w:rsid w:val="00AD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CC"/>
  </w:style>
  <w:style w:type="paragraph" w:styleId="Footer">
    <w:name w:val="footer"/>
    <w:basedOn w:val="Normal"/>
    <w:link w:val="FooterChar"/>
    <w:uiPriority w:val="99"/>
    <w:unhideWhenUsed/>
    <w:rsid w:val="00AD4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onstituency.org/assets/ipc-position-papers/2020/2020_07July_29%20Minority%20Statement%20of%20the%20BC%20and%20IPC%20on%20the%20EPDP%20Phase%202%20Final%20Report.pdf" TargetMode="External"/><Relationship Id="rId2" Type="http://schemas.openxmlformats.org/officeDocument/2006/relationships/hyperlink" Target="https://www.ipconstituency.org/assets/ipc-position-papers/2019/2019_12December_23%20IPC%20Comments%20re%20RDS-WHOIS2%20Review.pdf" TargetMode="External"/><Relationship Id="rId1" Type="http://schemas.openxmlformats.org/officeDocument/2006/relationships/hyperlink" Target="https://policyreview.info/articles/analysis/regulation-abusive-activity-content-study-registries-terms-service" TargetMode="External"/><Relationship Id="rId4" Type="http://schemas.openxmlformats.org/officeDocument/2006/relationships/hyperlink" Target="https://www.ipconstituency.org/assets/ipc-position-papers/2019/2019_12December_23%20IPC%20Comments%20re%20RDS-WHOIS2%20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07F8BD-2ECF-B040-A52C-087423E8B15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FA22-AA70-4F85-AE27-E79E869C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Marks</dc:creator>
  <cp:keywords/>
  <dc:description/>
  <cp:lastModifiedBy>Dean Marks</cp:lastModifiedBy>
  <cp:revision>2</cp:revision>
  <dcterms:created xsi:type="dcterms:W3CDTF">2021-08-03T04:18:00Z</dcterms:created>
  <dcterms:modified xsi:type="dcterms:W3CDTF">2021-08-03T04:18:00Z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documentId_1285</vt:lpwstr>
  </property>
  <property fmtid="{D5CDD505-2E9C-101B-9397-08002B2CF9AE}" pid="3" name="grammarly_documentContext">
    <vt:lpwstr>{"goals":[],"domain":"general","emotions":[],"dialect":"british"}</vt:lpwstr>
  </property>
</Properties>
</file>